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eastAsia="Wingdings" w:cs="Wingdings"/>
          <w:sz w:val="24"/>
          <w:szCs w:val="24"/>
        </w:rPr>
      </w:pPr>
      <w:r>
        <w:rPr>
          <w:rFonts w:eastAsia="Wingdings" w:cs="Wingdings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1595755</wp:posOffset>
            </wp:positionH>
            <wp:positionV relativeFrom="page">
              <wp:posOffset>123825</wp:posOffset>
            </wp:positionV>
            <wp:extent cx="845185" cy="101727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spacing w:lineRule="auto" w:line="360"/>
        <w:jc w:val="center"/>
        <w:rPr/>
      </w:pPr>
      <w:r>
        <w:rPr>
          <w:rFonts w:eastAsia="Wingdings" w:ascii="Arial" w:hAnsi="Arial"/>
          <w:b/>
          <w:i/>
          <w:sz w:val="24"/>
          <w:szCs w:val="24"/>
        </w:rPr>
        <w:t xml:space="preserve">DOCUMENTOS NECESSÁRIOS PARA </w:t>
      </w:r>
      <w:r>
        <w:rPr>
          <w:rFonts w:eastAsia="Wingdings" w:ascii="Arial" w:hAnsi="Arial"/>
          <w:b/>
          <w:i/>
          <w:sz w:val="24"/>
          <w:szCs w:val="24"/>
          <w:u w:val="single"/>
        </w:rPr>
        <w:t>OBTER OU RENOVAR</w:t>
      </w:r>
      <w:r>
        <w:rPr>
          <w:rFonts w:eastAsia="Wingdings" w:ascii="Arial" w:hAnsi="Arial"/>
          <w:b/>
          <w:i/>
          <w:sz w:val="24"/>
          <w:szCs w:val="24"/>
        </w:rPr>
        <w:t xml:space="preserve"> </w:t>
      </w:r>
    </w:p>
    <w:p>
      <w:pPr>
        <w:pStyle w:val="Standard"/>
        <w:spacing w:lineRule="auto" w:line="360"/>
        <w:jc w:val="center"/>
        <w:rPr>
          <w:rFonts w:ascii="Arial" w:hAnsi="Arial" w:eastAsia="Wingdings"/>
          <w:b/>
          <w:b/>
          <w:i/>
          <w:i/>
          <w:sz w:val="24"/>
          <w:szCs w:val="24"/>
        </w:rPr>
      </w:pPr>
      <w:r>
        <w:rPr>
          <w:rFonts w:eastAsia="Wingdings" w:ascii="Arial" w:hAnsi="Arial"/>
          <w:b/>
          <w:i/>
          <w:sz w:val="24"/>
          <w:szCs w:val="24"/>
        </w:rPr>
        <w:t xml:space="preserve">O ALVARÁ SANITÁRIO JUNTO A VIGILÂNCIA SANITÁRIA: </w:t>
      </w:r>
    </w:p>
    <w:p>
      <w:pPr>
        <w:pStyle w:val="Standard"/>
        <w:spacing w:lineRule="auto" w:line="360"/>
        <w:jc w:val="center"/>
        <w:rPr>
          <w:rFonts w:ascii="Arial" w:hAnsi="Arial" w:eastAsia="Wingdings"/>
          <w:b/>
          <w:b/>
          <w:i/>
          <w:i/>
          <w:sz w:val="24"/>
          <w:szCs w:val="24"/>
        </w:rPr>
      </w:pPr>
      <w:r>
        <w:rPr>
          <w:rFonts w:eastAsia="Wingdings" w:ascii="Arial" w:hAnsi="Arial"/>
          <w:b/>
          <w:i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tbl>
      <w:tblPr>
        <w:tblW w:w="10620" w:type="dxa"/>
        <w:jc w:val="left"/>
        <w:tblInd w:w="-8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1492"/>
        <w:gridCol w:w="4087"/>
        <w:gridCol w:w="1621"/>
        <w:gridCol w:w="1800"/>
        <w:gridCol w:w="1620"/>
      </w:tblGrid>
      <w:tr>
        <w:trPr>
          <w:trHeight w:val="525" w:hRule="atLeast"/>
        </w:trPr>
        <w:tc>
          <w:tcPr>
            <w:tcW w:w="106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                                       </w:t>
            </w:r>
            <w:r>
              <w:rPr>
                <w:rFonts w:cs="Arial" w:ascii="Arial" w:hAnsi="Arial"/>
              </w:rPr>
              <w:t xml:space="preserve">PLANO DE GERENCIAMENTO DE RESÍDUOS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</w:tr>
      <w:tr>
        <w:trPr/>
        <w:tc>
          <w:tcPr>
            <w:tcW w:w="106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1. IDENTIFICAÇÃO DO GERADOR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152" w:leader="underscore"/>
              </w:tabs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152" w:leader="underscore"/>
              </w:tabs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Razão Social: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152" w:leader="underscore"/>
              </w:tabs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Fantasia:                                                                        C.N.P.J.:                                                                               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152" w:leader="underscore"/>
              </w:tabs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Número e Data de Validade da Licença Ambiental: </w:t>
              <w:softHyphen/>
              <w:softHyphen/>
              <w:softHyphen/>
              <w:softHyphen/>
              <w:softHyphen/>
            </w:r>
          </w:p>
          <w:p>
            <w:pPr>
              <w:pStyle w:val="Normal"/>
              <w:widowControl w:val="false"/>
              <w:tabs>
                <w:tab w:val="clear" w:pos="709"/>
                <w:tab w:val="left" w:pos="5112" w:leader="underscore"/>
                <w:tab w:val="left" w:pos="10169" w:leader="none"/>
              </w:tabs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Endereço:                                                                      Bairro: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460" w:leader="underscore"/>
              </w:tabs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Cep:                                  Fone</w:t>
            </w:r>
            <w:r>
              <w:rPr>
                <w:rFonts w:eastAsia="Segoe UI Emoji" w:cs="Segoe UI Emoji" w:ascii="Segoe UI Emoji" w:hAnsi="Segoe UI Emoji"/>
              </w:rPr>
              <w:t xml:space="preserve"> (   )                  </w:t>
            </w:r>
            <w:r>
              <w:rPr>
                <w:rFonts w:cs="Arial" w:ascii="Arial" w:hAnsi="Arial"/>
              </w:rPr>
              <w:t xml:space="preserve">              Cidade: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152" w:leader="underscore"/>
              </w:tabs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Responsável:                                              CPF: 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152" w:leader="underscore"/>
              </w:tabs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Profissão:                                             Insc. Categoria: 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152" w:leader="underscore"/>
              </w:tabs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 mail:  </w:t>
            </w:r>
          </w:p>
        </w:tc>
      </w:tr>
      <w:tr>
        <w:trPr/>
        <w:tc>
          <w:tcPr>
            <w:tcW w:w="106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8460" w:leader="underscore"/>
              </w:tabs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2. TRANSPORTADOR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186" w:leader="underscore"/>
              </w:tabs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Nome Fantasia: 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460" w:leader="underscore"/>
              </w:tabs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Cadastro na Prefeitura Municipal nº:  </w:t>
            </w:r>
          </w:p>
        </w:tc>
      </w:tr>
      <w:tr>
        <w:trPr>
          <w:cantSplit w:val="true"/>
        </w:trPr>
        <w:tc>
          <w:tcPr>
            <w:tcW w:w="72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3. IDENTIFICAÇÃO E QUANTIFICAÇÃO DOS RESÍDUOS</w:t>
            </w:r>
          </w:p>
        </w:tc>
        <w:tc>
          <w:tcPr>
            <w:tcW w:w="18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4. FREQUÊNCIA DA COLETA     (nº de vezes por semana)</w:t>
            </w:r>
          </w:p>
        </w:tc>
        <w:tc>
          <w:tcPr>
            <w:tcW w:w="16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 DESTINO FINAL</w:t>
            </w:r>
          </w:p>
        </w:tc>
      </w:tr>
      <w:tr>
        <w:trPr>
          <w:cantSplit w:val="true"/>
        </w:trPr>
        <w:tc>
          <w:tcPr>
            <w:tcW w:w="14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3.1 CÓDIGO DOS RESÍDUOS (*)</w:t>
            </w:r>
          </w:p>
        </w:tc>
        <w:tc>
          <w:tcPr>
            <w:tcW w:w="40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DESCRIÇÃO DOS RESÍDUOS</w:t>
            </w:r>
          </w:p>
        </w:tc>
        <w:tc>
          <w:tcPr>
            <w:tcW w:w="16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3.2 PESO ESTIMADO EM QUILOGRAMAS (Kg/Coleta)</w:t>
            </w:r>
          </w:p>
        </w:tc>
        <w:tc>
          <w:tcPr>
            <w:tcW w:w="1800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20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54" w:hRule="atLeast"/>
        </w:trPr>
        <w:tc>
          <w:tcPr>
            <w:tcW w:w="14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</w:t>
            </w:r>
          </w:p>
        </w:tc>
        <w:tc>
          <w:tcPr>
            <w:tcW w:w="40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Resíduo Infectante ou Biológico</w:t>
            </w:r>
          </w:p>
        </w:tc>
        <w:tc>
          <w:tcPr>
            <w:tcW w:w="16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54" w:hRule="atLeast"/>
        </w:trPr>
        <w:tc>
          <w:tcPr>
            <w:tcW w:w="14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</w:t>
            </w:r>
          </w:p>
        </w:tc>
        <w:tc>
          <w:tcPr>
            <w:tcW w:w="40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Resíduo Químico - Farmacêutico</w:t>
            </w:r>
          </w:p>
        </w:tc>
        <w:tc>
          <w:tcPr>
            <w:tcW w:w="16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454" w:hRule="atLeast"/>
        </w:trPr>
        <w:tc>
          <w:tcPr>
            <w:tcW w:w="14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</w:t>
            </w:r>
          </w:p>
        </w:tc>
        <w:tc>
          <w:tcPr>
            <w:tcW w:w="40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Rejeito Radioativo</w:t>
            </w:r>
          </w:p>
        </w:tc>
        <w:tc>
          <w:tcPr>
            <w:tcW w:w="16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</w:tr>
      <w:tr>
        <w:trPr>
          <w:trHeight w:val="454" w:hRule="atLeast"/>
        </w:trPr>
        <w:tc>
          <w:tcPr>
            <w:tcW w:w="14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</w:t>
            </w:r>
          </w:p>
        </w:tc>
        <w:tc>
          <w:tcPr>
            <w:tcW w:w="40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Resíduo Comum</w:t>
            </w:r>
          </w:p>
        </w:tc>
        <w:tc>
          <w:tcPr>
            <w:tcW w:w="16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/>
        <w:tc>
          <w:tcPr>
            <w:tcW w:w="10620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pBdr>
                <w:top w:val="single" w:sz="18" w:space="1" w:color="000000"/>
                <w:left w:val="single" w:sz="18" w:space="4" w:color="000000"/>
                <w:bottom w:val="single" w:sz="18" w:space="1" w:color="000000"/>
                <w:right w:val="single" w:sz="18" w:space="4" w:color="000000"/>
              </w:pBdr>
              <w:spacing w:lineRule="auto" w:line="36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4. OBRIGAÇÕES LEGAIS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4.1 - MANUSEIO E ACONDICIONAMENTO</w:t>
            </w:r>
          </w:p>
          <w:p>
            <w:pPr>
              <w:pStyle w:val="Normal"/>
              <w:widowControl w:val="false"/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– GRUPO A: Infectante ou Biológico</w:t>
            </w:r>
          </w:p>
          <w:p>
            <w:pPr>
              <w:pStyle w:val="Normal"/>
              <w:widowControl w:val="false"/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São acondicionados em sacos plásticos, impermeáveis e resistentes, de cor branca leitosa, com simbologia de resíduo infectante. E no acondicionamento dos perfurantes e cortantes são usados previamente recipientes rígidos, estanque, vedado, impermeável e identificado com inscrição de perfurocortante.</w:t>
            </w:r>
          </w:p>
          <w:p>
            <w:pPr>
              <w:pStyle w:val="Normal"/>
              <w:widowControl w:val="false"/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– GRUPO B: Resíduo Químico</w:t>
            </w:r>
          </w:p>
          <w:p>
            <w:pPr>
              <w:pStyle w:val="Normal"/>
              <w:widowControl w:val="false"/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São acondicionados em duplo saco plástico de cor branca leitosa, com identificação do resíduo e dos riscos. Ou acondicionado em recipiente rígido e estanque, compatível com as características físico-químicas do resíduo ou produto a ser descartado, identificado de forma visível com o nome do conteúdo e suas principais características.</w:t>
            </w:r>
          </w:p>
          <w:p>
            <w:pPr>
              <w:pStyle w:val="Normal"/>
              <w:widowControl w:val="false"/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– GRUPO C: Resíduo Radioativo</w:t>
            </w:r>
          </w:p>
          <w:p>
            <w:pPr>
              <w:pStyle w:val="Normal"/>
              <w:widowControl w:val="false"/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São acondicionados de acordo com as normas da Comissão Nacional de Energia Nuclear – CNEN.</w:t>
            </w:r>
          </w:p>
          <w:p>
            <w:pPr>
              <w:pStyle w:val="Normal"/>
              <w:widowControl w:val="false"/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– GRUPO D: Resíduo Comum</w:t>
            </w:r>
          </w:p>
          <w:p>
            <w:pPr>
              <w:pStyle w:val="Normal"/>
              <w:widowControl w:val="false"/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São acondicionados em sacos pretos resistentes de modo a evitar derramamento durante seu manuseio.</w:t>
            </w:r>
          </w:p>
        </w:tc>
      </w:tr>
      <w:tr>
        <w:trPr/>
        <w:tc>
          <w:tcPr>
            <w:tcW w:w="10620" w:type="dxa"/>
            <w:gridSpan w:val="5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4.2 - ARMAZENAMENTO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– GRUPO A: Infectante ou Biológico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São armazenados em depósitos metálicos ou de polietileno com tampa e estanque, de fácil higienização e manuseio.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– GRUPO B: Resíduo Químico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São armazenados em recipiente rígido e estanque, compatível com as características físico-químicas do resíduo ou produto a ser descartado, identificado de forma visível com o nome do conteúdo e suas principais características.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– GRUPO C: Resíduo Radioativo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São armazenados de acordo com as normas da Comissão Nacional de Energia Nuclear – CNEN.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– GRUPO D: Resíduo Comum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São armazenados em sacos pretos resistentes de modo a evitar derramamento durante seu manuseio.</w:t>
            </w:r>
          </w:p>
        </w:tc>
      </w:tr>
      <w:tr>
        <w:trPr/>
        <w:tc>
          <w:tcPr>
            <w:tcW w:w="10620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4.3 - SAÚDE E SEGURANÇA DO TRABALHADOR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 pessoas envolvidas com o PGRSS são submetidas a exame admissional, periódico de retorno ao trabalho, mudança e demissional. As medidas de higiene e segurança permitem que o pessoal envolvido no Plano de Gerenciamento de Resíduos, além de proteger sai própria saúde, possam desenvolver com maior eficiência seu trabalho, conhecer o cronograma de trabalho, sua natureza e responsabilidades, assim como, o risco a que está exposto;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vacinar-se contra o tétano, tifo e hepatite B;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estar em perfeito estado de saúde, não ter problemas com gripes leves nem pequenas feridas na mão ou no braço;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iniciar seu trabalho já devidamente protegido pelo equipamento pessoal – EPI’s;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não comer, não fumar, nem mastigar qualquer produto durante o manuseio dos resíduos;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ter acesso imediato uma caixa de anti-séptico, algodão, esparadrapo, ataduras e sabão germicida;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retirar-se do local caso sinta náuseas;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lavar a ferida com água e sabão no caso de corte ou arranhão durante o manuseio dos resíduos para desinfetá-la e cobri-la rapidamente. Caso necessário, recorrer ao serviço de urgência;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registrar sempre o acidente ocorrido no manuseio dos resíduos;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ter sempre sacos de reserva para uso imediato quando do rompimento para não deixar restos no chão;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descartar imediatamente as luvas em caso de ruptura, não as reutilizando.</w:t>
            </w:r>
          </w:p>
        </w:tc>
      </w:tr>
      <w:tr>
        <w:trPr/>
        <w:tc>
          <w:tcPr>
            <w:tcW w:w="106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5. REFERÊNCIAS BIBLIOGRÁFICAS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Para fins de atendimento de apresentação do Plano de Gerenciamento de Resíduos Sólidos Sépticos deverão ser observadas as seguintes Legislações e Normas Técnicas: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LEI FEDERAL Nº 9605/98 – Dispõe sobre crimes ambientais.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aps/>
              </w:rPr>
              <w:t>Resolução</w:t>
            </w:r>
            <w:r>
              <w:rPr>
                <w:rFonts w:cs="Arial" w:ascii="Arial" w:hAnsi="Arial"/>
              </w:rPr>
              <w:t xml:space="preserve"> CONAMA  Nº 01/86 – Estabelece definições, responsabilidade, critérios básicos,e diretrizes da avaliação do impacto ambiental, determina que aterros sanitários, processamento e destino final de resíduos tóxicos ou perigosos são passíveis de avaliação.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aps/>
              </w:rPr>
              <w:t>Resolução</w:t>
            </w:r>
            <w:r>
              <w:rPr>
                <w:rFonts w:cs="Arial" w:ascii="Arial" w:hAnsi="Arial"/>
              </w:rPr>
              <w:t xml:space="preserve"> CONAMA  Nº 05/88 – Especifica licenciamento de obras de unidade de transferências, tratamento e disposição final de resíduos sólidos de origens domésticas, públicas, industriais e de origem hospitalar.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aps/>
              </w:rPr>
              <w:t>Resolução</w:t>
            </w:r>
            <w:r>
              <w:rPr>
                <w:rFonts w:cs="Arial" w:ascii="Arial" w:hAnsi="Arial"/>
              </w:rPr>
              <w:t xml:space="preserve"> CONAMA  Nº 05/93 – Dispõe sobre destinação dos resíduos sólidos de serviço de saúde, portos, aeroportos, terminais rodoviários e ferroviários. Onde define a responsabilidade do gerador quanto o gerenciamento dos resíduos desde a geração até a disposição final.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aps/>
              </w:rPr>
              <w:t>Resolução</w:t>
            </w:r>
            <w:r>
              <w:rPr>
                <w:rFonts w:cs="Arial" w:ascii="Arial" w:hAnsi="Arial"/>
              </w:rPr>
              <w:t xml:space="preserve"> ANVISA  RDC 306/04 – Dispõe sobre o regulamento técnico para o gerenciamento de resíduos de serviço de saúde.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NBR 10.004/87 – Classifica os resíduos sólidos quanto aos seus riscos potenciais ao meio ambiente e à saúde pública.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NBR 7.500/87 – Símbolos de risco e manuseio para o transporte e armazenamento de resíduos sólidos.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NBR 12.235/92 – Armazenamento de resíduos sólidos perigosos definidos na NBR 10004 – procedimentos.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NBR 12.807/93 – Resíduos de serviços de saúde – terminologia.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NBR 12.808/93 – Resíduos de serviços de saúde – classificação.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NBR 12.809/93 – Manuseio de resíduos de serviços de saúde – procedimentos.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NBR 12.810/93 – Coleta de resíduos de serviços de saúde – procedimentos.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NBR 9.190/93 – Sacos plásticos para acondicionamento de lixo – classificação.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NBR 9.191/93 – Sacos plásticos para acondicionamento de lixo – especificação.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NBR 9.195/93 – Sacos plásticos para acondicionamento de lixo – determinação da resistência à queda livre.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NBR 13.055/93 – Sacos plásticos para acondicionamento de lixo – Determinação para a capacidade volumétrica.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NBR 13.056/93 – Filmes plásticos para saco para acondicionamento de lixo.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NBR 12.890/93 – Coleta, varrição e acondicionamento de resíduos sólidos urbanos  - terminologia.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NBR 11.175/90 – Fixa as condições exigíveis de desempenho do equipamento para incineração de resíduos sólidos perigosos.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NBR 13.853/97 – Coletores para resíduos de serviços de saúde perfurantes ou cortantes – requisitos e métodos de ensaio.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CNEN – NE 6.05/98 – Gerência dos rejeitos radioativos.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</w:tr>
      <w:tr>
        <w:trPr/>
        <w:tc>
          <w:tcPr>
            <w:tcW w:w="106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6. RESPONSÁVEIS PELO ESTABELECIMENTO GERADOR E PELA ELABORAÇÃO DO PLANO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Responsável pelo Estabelecimento Gerador (Nome do estabelecimento): ___________________________________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Nome:                                                                    CPF: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Responsável pela Elaboração do Plano:                                                     ___________________________________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Nome:                                                                    CRF/RS: </w:t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Três de Maio,      de                           de 20      .   </w:t>
            </w:r>
            <w:r>
              <w:rPr>
                <w:rFonts w:cs="Arial" w:ascii="Arial" w:hAnsi="Arial"/>
                <w:color w:val="FFFFFF"/>
              </w:rPr>
              <w:t xml:space="preserve"> .</w:t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jc w:val="center"/>
        <w:rPr>
          <w:rFonts w:ascii="Arial" w:hAnsi="Arial" w:eastAsia="Wingdings" w:cs="Arial"/>
          <w:i/>
          <w:i/>
        </w:rPr>
      </w:pPr>
      <w:r>
        <w:rPr/>
      </w:r>
    </w:p>
    <w:sectPr>
      <w:headerReference w:type="default" r:id="rId3"/>
      <w:type w:val="nextPage"/>
      <w:pgSz w:w="11906" w:h="16838"/>
      <w:pgMar w:left="1134" w:right="1134" w:header="1134" w:top="1969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egoe UI Emoji">
    <w:charset w:val="00"/>
    <w:family w:val="roman"/>
    <w:pitch w:val="variable"/>
  </w:font>
  <w:font w:name="0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jc w:val="center"/>
      <w:rPr>
        <w:rFonts w:ascii="Arial" w:hAnsi="Arial"/>
        <w:b/>
        <w:b/>
      </w:rPr>
    </w:pPr>
    <w:r>
      <w:rPr>
        <w:rFonts w:ascii="Arial" w:hAnsi="Arial"/>
        <w:b/>
      </w:rPr>
      <w:t>Setor de Vigilância Sanitária</w:t>
    </w:r>
  </w:p>
  <w:p>
    <w:pPr>
      <w:pStyle w:val="Standard"/>
      <w:jc w:val="center"/>
      <w:rPr>
        <w:rFonts w:ascii="Arial" w:hAnsi="Arial"/>
        <w:b/>
        <w:b/>
      </w:rPr>
    </w:pPr>
    <w:r>
      <w:rPr>
        <w:rFonts w:ascii="Arial" w:hAnsi="Arial"/>
        <w:b/>
      </w:rPr>
      <w:t>Três de Maio – RS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0" w:hAnsi="0" w:cs="0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cs="Segoe UI"/>
      <w:sz w:val="18"/>
      <w:szCs w:val="18"/>
    </w:rPr>
  </w:style>
  <w:style w:type="paragraph" w:styleId="Xmsonormal">
    <w:name w:val="x_msonormal"/>
    <w:basedOn w:val="Normal"/>
    <w:qFormat/>
    <w:pPr>
      <w:spacing w:lineRule="exact" w:line="240" w:before="100" w:after="100"/>
    </w:pPr>
    <w:rPr>
      <w:rFonts w:ascii="Times New Roman" w:hAnsi="Times New Roman" w:eastAsia="Times New Roman" w:cs="Times New Roman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LibreOffice/7.1.5.2$Windows_X86_64 LibreOffice_project/85f04e9f809797b8199d13c421bd8a2b025d52b5</Application>
  <AppVersion>15.0000</AppVersion>
  <Pages>4</Pages>
  <Words>978</Words>
  <Characters>5677</Characters>
  <CharactersWithSpaces>7267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2022-04-11T08:04:55Z</dcterms:modified>
  <cp:revision>4</cp:revision>
  <dc:subject/>
  <dc:title/>
</cp:coreProperties>
</file>